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184c2203b667d0312ae17c98ff29b392">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5d4d106708749b4d8f8e78719867d5b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D7E16BFD-230E-4F93-970F-3EA8CDB85267}"/>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